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4D3979" w:rsidRDefault="003A013C" w:rsidP="003A013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 xml:space="preserve"> 20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 w:rsidRPr="004D3979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05.07</w:t>
      </w:r>
      <w:r w:rsidR="00B127D6" w:rsidRPr="004D3979">
        <w:rPr>
          <w:rFonts w:asciiTheme="minorHAnsi" w:eastAsiaTheme="minorHAnsi" w:hAnsiTheme="minorHAnsi" w:cstheme="minorHAnsi"/>
          <w:sz w:val="24"/>
          <w:szCs w:val="24"/>
        </w:rPr>
        <w:t>.2023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 xml:space="preserve"> Dvora Trakošćan s početkom u 12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,1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A17438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dr.sc. Vesna Pascuttini Juraga, predsjednica</w:t>
      </w:r>
    </w:p>
    <w:p w:rsidR="00A17438" w:rsidRPr="004D3979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Andreja Sre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dnoselec, zamjenica predsjednice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Nedeljka Vodolšak,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Ivan Mravlinčić, član</w:t>
      </w:r>
    </w:p>
    <w:p w:rsidR="00A17438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dr.sc. Goranka Horjan, ravnateljica</w:t>
      </w:r>
    </w:p>
    <w:p w:rsidR="00A1193E" w:rsidRPr="004D3979" w:rsidRDefault="00A1193E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Tanja Ferčec, voditeljica računovodstva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Default="00A17438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979">
        <w:rPr>
          <w:rFonts w:asciiTheme="minorHAnsi" w:hAnsiTheme="minorHAnsi" w:cstheme="minorHAnsi"/>
          <w:sz w:val="24"/>
          <w:szCs w:val="24"/>
        </w:rPr>
        <w:t>Sjednicu je otvorila predsjednica</w:t>
      </w:r>
      <w:r w:rsidR="003A013C" w:rsidRPr="004D3979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Pr="004D3979">
        <w:rPr>
          <w:rFonts w:asciiTheme="minorHAnsi" w:hAnsiTheme="minorHAnsi" w:cstheme="minorHAnsi"/>
          <w:sz w:val="24"/>
          <w:szCs w:val="24"/>
        </w:rPr>
        <w:t>dr.sc. Vesna Pascuttini Juraga</w:t>
      </w:r>
      <w:r w:rsidR="00945195" w:rsidRPr="004D3979">
        <w:rPr>
          <w:rFonts w:asciiTheme="minorHAnsi" w:hAnsiTheme="minorHAnsi" w:cstheme="minorHAnsi"/>
          <w:sz w:val="24"/>
          <w:szCs w:val="24"/>
        </w:rPr>
        <w:t xml:space="preserve"> </w:t>
      </w:r>
      <w:r w:rsidR="003A013C" w:rsidRPr="004D3979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997DF7" w:rsidRPr="00A1193E" w:rsidRDefault="00A1193E" w:rsidP="00A1193E">
      <w:pPr>
        <w:spacing w:after="20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193E">
        <w:rPr>
          <w:rFonts w:asciiTheme="minorHAnsi" w:hAnsiTheme="minorHAnsi" w:cstheme="minorHAnsi"/>
          <w:b/>
          <w:sz w:val="24"/>
          <w:szCs w:val="24"/>
        </w:rPr>
        <w:t>DNEVNI RED:</w:t>
      </w:r>
    </w:p>
    <w:p w:rsidR="00A1193E" w:rsidRPr="00457F7B" w:rsidRDefault="00A1193E" w:rsidP="00A1193E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19. sjednice Upravnog vijeća od 25.05.2023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Informacija o primopredaji dužnosti ravnatelja/ice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1193E" w:rsidRPr="00976D61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Informacija o stanju ugovorenih projekata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:rsidR="00A1193E" w:rsidRPr="000E2ED1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</w:t>
            </w:r>
            <w:r w:rsidRPr="000E2ED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Programa rada i razvitka Dvora Trakošćan za 2024. godinu</w:t>
            </w:r>
          </w:p>
          <w:p w:rsidR="00A1193E" w:rsidRDefault="00A1193E" w:rsidP="0026333D">
            <w:p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polugodišnjeg Izvještaja o izvršenju Financijskog plana Dvora Trakošćan za 2023. godinu</w:t>
            </w:r>
          </w:p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Odluka o otpisu potraživanja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Suglasnost za pokretanje postupka nabave za izradu projektne dokumentacije za sanaciju klizišta</w:t>
            </w:r>
          </w:p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945195" w:rsidRPr="004D3979" w:rsidRDefault="00945195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03BE4" w:rsidRPr="004D3979" w:rsidRDefault="00803BE4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1.) Usvajanje dnevnog reda</w:t>
      </w:r>
    </w:p>
    <w:p w:rsidR="00182349" w:rsidRDefault="00803BE4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Predsjednica je zamolila članove da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glasaju o usvajanju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 xml:space="preserve">predloženog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dnevnoga reda 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20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>. sjednice.</w:t>
      </w:r>
    </w:p>
    <w:p w:rsidR="00FD365A" w:rsidRPr="004D3979" w:rsidRDefault="00FD365A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182349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jednoglasno usvojilo dnevni red.</w:t>
      </w:r>
    </w:p>
    <w:p w:rsidR="00803BE4" w:rsidRPr="004D3979" w:rsidRDefault="00803BE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803BE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Ad 2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1193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 19. sjednice Upravnog vijeća od 25.05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godine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</w:t>
      </w:r>
      <w:r w:rsidR="00CD22BD" w:rsidRPr="004D3979">
        <w:rPr>
          <w:rFonts w:asciiTheme="minorHAnsi" w:eastAsiaTheme="minorHAnsi" w:hAnsiTheme="minorHAnsi" w:cstheme="minorHAnsi"/>
          <w:sz w:val="24"/>
          <w:szCs w:val="24"/>
        </w:rPr>
        <w:t>ove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Upravnog vijeća da na temelju uvida u zapisnik s prošle sjednice </w:t>
      </w:r>
      <w:r w:rsidR="0090518C"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1193E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A1193E">
        <w:rPr>
          <w:rFonts w:asciiTheme="minorHAnsi" w:eastAsiaTheme="minorHAnsi" w:hAnsiTheme="minorHAnsi" w:cstheme="minorHAnsi"/>
          <w:b/>
          <w:sz w:val="24"/>
          <w:szCs w:val="24"/>
        </w:rPr>
        <w:t xml:space="preserve"> 19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od</w:t>
      </w:r>
    </w:p>
    <w:p w:rsidR="003A013C" w:rsidRPr="004D3979" w:rsidRDefault="00A1193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25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05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>.2023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>. godine.</w:t>
      </w:r>
    </w:p>
    <w:p w:rsidR="00182349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FD39F3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10561E" w:rsidRPr="004D3979" w:rsidRDefault="00182349" w:rsidP="00FD39F3">
      <w:p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1193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Informacija o primopredaju dužnosti ravnatelja/ice</w:t>
      </w:r>
    </w:p>
    <w:p w:rsidR="005B1274" w:rsidRPr="004D3979" w:rsidRDefault="005B127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8033A" w:rsidRDefault="00113669" w:rsidP="00A1193E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Ravnateljica je </w:t>
      </w:r>
      <w:r w:rsidR="001613AB" w:rsidRPr="004D3979">
        <w:rPr>
          <w:rFonts w:asciiTheme="minorHAnsi" w:eastAsiaTheme="minorHAnsi" w:hAnsiTheme="minorHAnsi" w:cstheme="minorHAnsi"/>
          <w:sz w:val="24"/>
          <w:szCs w:val="24"/>
        </w:rPr>
        <w:t xml:space="preserve">obavijestila članove Upravnog vijeća da je 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15. lipnja 2023. obavljena primopredaja dužnosti ravnatelja/ice. Ivan Mravlinčić koji je obnašao dužnost v.d. ravnatelja Muzeja do 30. travnja 2023. predao je Goranki Horjan koja je na dužnost ravnateljice Muzeja stupila 01. svibnja 2023. dokumentaciju koja uključuje: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financijskom poslovanju od 01.01. do 30.04.2023. godine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Izjavu o fiskalnoj odgovornosti za razdoblje od 01.01. do 30.04.2023. godine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obavezno pravnim odnosima sa stanjem na dan 30.04.2023. godine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Važeće opće akte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Važeće procedure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Ugovore o radu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Odluke o zaduženjima pojedinih zaposlenika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zadnje revizije muzejske građe 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Popis imovine sa stanjem na dan 30.04.2023. godine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stanju EU projekta na dan 30.04.2023.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rada i razvitka te plan programskih aktivnosti za 2023. godinu</w:t>
      </w:r>
    </w:p>
    <w:p w:rsidR="00A1193E" w:rsidRDefault="00A1193E" w:rsidP="00A1193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Stanje sudskih postupaka u tijeku na dan 30.04.2023. godine.</w:t>
      </w:r>
    </w:p>
    <w:p w:rsidR="00FA590D" w:rsidRDefault="00FA590D" w:rsidP="00FA59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590D" w:rsidRDefault="00FA590D" w:rsidP="00FA590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 je obavijestila članove Up</w:t>
      </w:r>
      <w:r w:rsidR="00345B6B">
        <w:rPr>
          <w:rFonts w:cstheme="minorHAnsi"/>
          <w:sz w:val="24"/>
          <w:szCs w:val="24"/>
        </w:rPr>
        <w:t>ravnog vijeća da će ove godine b</w:t>
      </w:r>
      <w:r>
        <w:rPr>
          <w:rFonts w:cstheme="minorHAnsi"/>
          <w:sz w:val="24"/>
          <w:szCs w:val="24"/>
        </w:rPr>
        <w:t>iti provedena revizija muzejske građe i muzejske dokumentacije.</w:t>
      </w:r>
    </w:p>
    <w:p w:rsidR="00FA590D" w:rsidRDefault="00FA590D" w:rsidP="00FA59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590D" w:rsidRPr="00FA590D" w:rsidRDefault="00FA590D" w:rsidP="00FA590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Ravnateljica je </w:t>
      </w:r>
      <w:r w:rsidR="004B2913">
        <w:rPr>
          <w:rFonts w:cstheme="minorHAnsi"/>
          <w:sz w:val="24"/>
          <w:szCs w:val="24"/>
        </w:rPr>
        <w:t xml:space="preserve">također </w:t>
      </w:r>
      <w:r>
        <w:rPr>
          <w:rFonts w:cstheme="minorHAnsi"/>
          <w:sz w:val="24"/>
          <w:szCs w:val="24"/>
        </w:rPr>
        <w:t>obavijestila članove Upravnog vijeća da je potrebno osigurati muzejsku građu, objekte i posjetitelje budući da su za sada osigurane samo recepcija i ribarska kućica. Predsjednica vijeća napomenula je kako je potrebno napraviti zasebne police osiguranja za građu i objekt.</w:t>
      </w:r>
    </w:p>
    <w:p w:rsidR="00FA590D" w:rsidRDefault="00FA590D" w:rsidP="00FA59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590D" w:rsidRPr="00825424" w:rsidRDefault="00FA590D" w:rsidP="00825424">
      <w:pPr>
        <w:spacing w:line="240" w:lineRule="auto"/>
        <w:jc w:val="both"/>
        <w:rPr>
          <w:sz w:val="24"/>
          <w:szCs w:val="24"/>
        </w:rPr>
      </w:pPr>
      <w:r w:rsidRPr="00825424">
        <w:rPr>
          <w:rFonts w:cstheme="minorHAnsi"/>
          <w:sz w:val="24"/>
          <w:szCs w:val="24"/>
        </w:rPr>
        <w:t xml:space="preserve">Predsjednica Upravnog vijeća je pitala u kojoj se fazi nalazi EU projekt uređenja sjeverne staze oko jezera (II. faza). Andreja Srednoselec obavijestila je članove vijeća da je </w:t>
      </w:r>
      <w:r w:rsidR="00825424" w:rsidRPr="00825424">
        <w:rPr>
          <w:rFonts w:cstheme="minorHAnsi"/>
          <w:sz w:val="24"/>
          <w:szCs w:val="24"/>
        </w:rPr>
        <w:t xml:space="preserve">17.03.2023. </w:t>
      </w:r>
      <w:r w:rsidR="00825424">
        <w:rPr>
          <w:sz w:val="24"/>
          <w:szCs w:val="24"/>
        </w:rPr>
        <w:t>Agenciji</w:t>
      </w:r>
      <w:r w:rsidR="00825424" w:rsidRPr="00825424">
        <w:rPr>
          <w:sz w:val="24"/>
          <w:szCs w:val="24"/>
        </w:rPr>
        <w:t xml:space="preserve"> za plaćanja u poljoprivredi, ribarstvu i ruralnom razvoju</w:t>
      </w:r>
      <w:r w:rsidR="00825424">
        <w:rPr>
          <w:sz w:val="24"/>
          <w:szCs w:val="24"/>
        </w:rPr>
        <w:t xml:space="preserve"> upućen zahtjev za isplatu</w:t>
      </w:r>
      <w:r w:rsidR="004B2913">
        <w:rPr>
          <w:sz w:val="24"/>
          <w:szCs w:val="24"/>
        </w:rPr>
        <w:t xml:space="preserve"> sredstava te da se čeka</w:t>
      </w:r>
      <w:r w:rsidR="00825424">
        <w:rPr>
          <w:sz w:val="24"/>
          <w:szCs w:val="24"/>
        </w:rPr>
        <w:t xml:space="preserve"> odluka</w:t>
      </w:r>
      <w:r w:rsidR="00825424" w:rsidRPr="00825424">
        <w:rPr>
          <w:sz w:val="24"/>
          <w:szCs w:val="24"/>
        </w:rPr>
        <w:t xml:space="preserve"> o rezultatu kontrole zahtjeva za isplatu.</w:t>
      </w:r>
    </w:p>
    <w:p w:rsidR="002716B2" w:rsidRDefault="003A013C" w:rsidP="002716B2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 w:rsidRPr="004D3979">
        <w:rPr>
          <w:rFonts w:asciiTheme="minorHAnsi" w:eastAsiaTheme="minorHAnsi" w:hAnsiTheme="minorHAnsi" w:cstheme="minorHAnsi"/>
          <w:b/>
          <w:sz w:val="24"/>
          <w:szCs w:val="24"/>
        </w:rPr>
        <w:t>: Upravno vi</w:t>
      </w:r>
      <w:r w:rsidR="009A332A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jeće je </w:t>
      </w:r>
      <w:r w:rsidR="002716B2">
        <w:rPr>
          <w:rFonts w:asciiTheme="minorHAnsi" w:eastAsiaTheme="minorHAnsi" w:hAnsiTheme="minorHAnsi" w:cstheme="minorHAnsi"/>
          <w:b/>
          <w:sz w:val="24"/>
          <w:szCs w:val="24"/>
        </w:rPr>
        <w:t xml:space="preserve">primilo informaciju o obavljenoj primopredaji dužnosti </w:t>
      </w:r>
    </w:p>
    <w:p w:rsidR="003A013C" w:rsidRPr="004D3979" w:rsidRDefault="002716B2" w:rsidP="002716B2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ravnatelja/ice.</w:t>
      </w:r>
    </w:p>
    <w:p w:rsidR="007C22C7" w:rsidRPr="004D3979" w:rsidRDefault="007C22C7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A590D" w:rsidRDefault="00FA590D" w:rsidP="00AB7C2F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81EF9" w:rsidRDefault="00F81EF9" w:rsidP="00AB7C2F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81EF9" w:rsidRDefault="00F81EF9" w:rsidP="00AB7C2F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81EF9" w:rsidRDefault="00F81EF9" w:rsidP="00AB7C2F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C05C1" w:rsidRPr="004D3979" w:rsidRDefault="00905AB2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Ad 4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B7C2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Informacija o stanju ugovorenih projekata</w:t>
      </w:r>
    </w:p>
    <w:p w:rsidR="004C009F" w:rsidRDefault="004C009F" w:rsidP="00113669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4C009F" w:rsidRDefault="004C009F" w:rsidP="00BE2AF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Ravnateljica je obavijestila članove Upravnog vijeća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da je </w:t>
      </w:r>
      <w:r w:rsidR="00BE2AF6">
        <w:rPr>
          <w:rFonts w:asciiTheme="minorHAnsi" w:eastAsia="Times New Roman" w:hAnsiTheme="minorHAnsi" w:cstheme="minorHAnsi"/>
          <w:sz w:val="24"/>
          <w:szCs w:val="24"/>
          <w:lang w:eastAsia="hr-HR"/>
        </w:rPr>
        <w:t>s izvođačem SUBVISION d.o.o. potpisan sporazumni raskid ugovora o izradi projektne dokumentacije za izradu elaborata ocjene postojećeg stanja građevinske konstrukcije i izrade projekta obnove konstrukcije dvorca i kapele sv. Križa. Projektant je izradio 3D snimku pročelja dvorca dok ostale usluge nisu izvršene zbog nemogućnosti izvođača da u ugovorenom roku izvrši ugovoreni zadatak, obzirom da isti zahtjeva dodatne analize i ispitivanja te samim time produljenje roka i dodatna financijska sredstva. Budući da je izvođaču isplaćena gotovo puna cijena ugovorenih usluga izvođač se obvezao vratiti sredstva u roku od 30 dana.</w:t>
      </w:r>
    </w:p>
    <w:p w:rsidR="00BE2AF6" w:rsidRDefault="00BE2AF6" w:rsidP="00BE2AF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BE2AF6" w:rsidRDefault="00BE2AF6" w:rsidP="00BE2AF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Ravnateljica je također obavijestila članove Upravnog vijeća da je s izvođačem BILOTA INŽENJERING d.o.o. potpisan aneks ugovora o izradi projektne dokumentacije za izgradnju pješačkog mosta za prijelaz preko Trakošćanskog jezera kojim je rok izvedbe produžen do 25.0</w:t>
      </w:r>
      <w:r w:rsidR="003948EA">
        <w:rPr>
          <w:rFonts w:asciiTheme="minorHAnsi" w:eastAsia="Times New Roman" w:hAnsiTheme="minorHAnsi" w:cstheme="minorHAnsi"/>
          <w:sz w:val="24"/>
          <w:szCs w:val="24"/>
          <w:lang w:eastAsia="hr-HR"/>
        </w:rPr>
        <w:t>7.2023.</w:t>
      </w:r>
      <w:r w:rsidR="009C096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godine.</w:t>
      </w:r>
    </w:p>
    <w:p w:rsidR="003948EA" w:rsidRDefault="003948EA" w:rsidP="00BE2AF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BE3756" w:rsidRPr="003948EA" w:rsidRDefault="003948EA" w:rsidP="003948E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je također obavijestila članove Upravnog vijeća da će se materijali vezani uz izradu projektne dokumentacije za koso dizalo do dvorca i vertikalnog dizala u dvorcu poslati Hrvatskom </w:t>
      </w: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vijeću za kulturna dobra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pri Ministarstvu kulture i medija koje će dati svoje mišljenje budući da je zbog odbijanja</w:t>
      </w: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glavnog projekta od strane Konzervato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rskog odjela u Varaždinu onemogućena daljnja isporuka</w:t>
      </w: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projekta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r w:rsidR="00BE3756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                  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C303D" w:rsidRPr="004D3979" w:rsidRDefault="003A013C" w:rsidP="00AB7C2F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AB7C2F">
        <w:rPr>
          <w:rFonts w:asciiTheme="minorHAnsi" w:eastAsiaTheme="minorHAnsi" w:hAnsiTheme="minorHAnsi" w:cstheme="minorHAnsi"/>
          <w:b/>
          <w:sz w:val="24"/>
          <w:szCs w:val="24"/>
        </w:rPr>
        <w:t>primilo informacije o stanju ugovorenih projekata.</w:t>
      </w:r>
    </w:p>
    <w:p w:rsidR="001C4485" w:rsidRPr="004D3979" w:rsidRDefault="001C4485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303D" w:rsidRPr="004D3979" w:rsidRDefault="00905AB2" w:rsidP="004C009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5</w:t>
      </w:r>
      <w:r w:rsidR="003C303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4C009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Programa rada i razvitka Dvora Trakošćan za 2024. godinu</w:t>
      </w:r>
    </w:p>
    <w:p w:rsidR="003C303D" w:rsidRPr="004D3979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028B2" w:rsidRPr="00D028B2" w:rsidRDefault="00C374B2" w:rsidP="00D028B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028B2">
        <w:rPr>
          <w:rFonts w:asciiTheme="minorHAnsi" w:eastAsiaTheme="minorHAnsi" w:hAnsiTheme="minorHAnsi" w:cstheme="minorHAnsi"/>
          <w:sz w:val="24"/>
          <w:szCs w:val="24"/>
        </w:rPr>
        <w:t>Ravnateljica je članovima</w:t>
      </w:r>
      <w:r w:rsidR="00905AB2" w:rsidRPr="00D028B2">
        <w:rPr>
          <w:rFonts w:asciiTheme="minorHAnsi" w:eastAsiaTheme="minorHAnsi" w:hAnsiTheme="minorHAnsi" w:cstheme="minorHAnsi"/>
          <w:sz w:val="24"/>
          <w:szCs w:val="24"/>
        </w:rPr>
        <w:t xml:space="preserve"> Upravnog vijeća </w:t>
      </w:r>
      <w:r w:rsidRPr="00D028B2">
        <w:rPr>
          <w:rFonts w:asciiTheme="minorHAnsi" w:eastAsiaTheme="minorHAnsi" w:hAnsiTheme="minorHAnsi" w:cstheme="minorHAnsi"/>
          <w:sz w:val="24"/>
          <w:szCs w:val="24"/>
        </w:rPr>
        <w:t>predstavila Program rada i razvitka Dvora Trakošć</w:t>
      </w:r>
      <w:r w:rsidR="00EC0BD6" w:rsidRPr="00D028B2">
        <w:rPr>
          <w:rFonts w:asciiTheme="minorHAnsi" w:eastAsiaTheme="minorHAnsi" w:hAnsiTheme="minorHAnsi" w:cstheme="minorHAnsi"/>
          <w:sz w:val="24"/>
          <w:szCs w:val="24"/>
        </w:rPr>
        <w:t>an za 2024. godinu. Objasnila je ishodišta programa koji</w:t>
      </w:r>
      <w:r w:rsidRPr="00D028B2">
        <w:rPr>
          <w:rFonts w:asciiTheme="minorHAnsi" w:eastAsiaTheme="minorHAnsi" w:hAnsiTheme="minorHAnsi" w:cstheme="minorHAnsi"/>
          <w:sz w:val="24"/>
          <w:szCs w:val="24"/>
        </w:rPr>
        <w:t xml:space="preserve"> za cilj ima zaokret prema unaprjeđenju muzejske djelatnosti. Pošto se sljedeće godine obilježava 70- ta godišnjica muzeja predviđene su dvije veće tematske izložbe: u prvom dijelu godine održati će se izložba o ženidbenim vezama obitelji Drašković</w:t>
      </w:r>
      <w:r w:rsidR="002E4CEA" w:rsidRPr="00D028B2">
        <w:rPr>
          <w:rFonts w:asciiTheme="minorHAnsi" w:eastAsiaTheme="minorHAnsi" w:hAnsiTheme="minorHAnsi" w:cstheme="minorHAnsi"/>
          <w:sz w:val="24"/>
          <w:szCs w:val="24"/>
        </w:rPr>
        <w:t xml:space="preserve"> („Tko tu koga ženi i zašto“)</w:t>
      </w:r>
      <w:r w:rsidRPr="00D028B2">
        <w:rPr>
          <w:rFonts w:asciiTheme="minorHAnsi" w:eastAsiaTheme="minorHAnsi" w:hAnsiTheme="minorHAnsi" w:cstheme="minorHAnsi"/>
          <w:sz w:val="24"/>
          <w:szCs w:val="24"/>
        </w:rPr>
        <w:t>, a u drugom dijelu godine izložba o dvorcu Trakošćan</w:t>
      </w:r>
      <w:r w:rsidR="002E4CEA" w:rsidRPr="00D028B2">
        <w:rPr>
          <w:rFonts w:asciiTheme="minorHAnsi" w:eastAsiaTheme="minorHAnsi" w:hAnsiTheme="minorHAnsi" w:cstheme="minorHAnsi"/>
          <w:sz w:val="24"/>
          <w:szCs w:val="24"/>
        </w:rPr>
        <w:t xml:space="preserve"> („Etimologija: Trakošćan – utvrda i legenda“)</w:t>
      </w:r>
      <w:r w:rsidRPr="00D028B2">
        <w:rPr>
          <w:rFonts w:asciiTheme="minorHAnsi" w:eastAsiaTheme="minorHAnsi" w:hAnsiTheme="minorHAnsi" w:cstheme="minorHAnsi"/>
          <w:sz w:val="24"/>
          <w:szCs w:val="24"/>
        </w:rPr>
        <w:t>.</w:t>
      </w:r>
      <w:r w:rsidR="002E4CEA" w:rsidRPr="00D028B2">
        <w:rPr>
          <w:rFonts w:asciiTheme="minorHAnsi" w:eastAsiaTheme="minorHAnsi" w:hAnsiTheme="minorHAnsi" w:cstheme="minorHAnsi"/>
          <w:sz w:val="24"/>
          <w:szCs w:val="24"/>
        </w:rPr>
        <w:t xml:space="preserve"> Izložbe će pratiti edukativne aktivnosti i događanja. Osim tih izložbi, planira se održati i gostujuća izložba MHZ-a „Viktor Šipek“.</w:t>
      </w:r>
      <w:r w:rsidR="00D028B2" w:rsidRPr="00D028B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028B2" w:rsidRPr="00D028B2">
        <w:rPr>
          <w:bCs/>
          <w:sz w:val="24"/>
          <w:szCs w:val="24"/>
        </w:rPr>
        <w:t>Sadržaji izložbi i edukativni programi uključu</w:t>
      </w:r>
      <w:r w:rsidR="00D028B2">
        <w:rPr>
          <w:bCs/>
          <w:sz w:val="24"/>
          <w:szCs w:val="24"/>
        </w:rPr>
        <w:t>ju aktivnosti igrifikacije čiji</w:t>
      </w:r>
      <w:r w:rsidR="00D028B2" w:rsidRPr="00D028B2">
        <w:rPr>
          <w:bCs/>
          <w:sz w:val="24"/>
          <w:szCs w:val="24"/>
        </w:rPr>
        <w:t xml:space="preserve"> obim zavisi o odobrenim sredstvima.</w:t>
      </w:r>
    </w:p>
    <w:p w:rsidR="002E4CEA" w:rsidRDefault="002E4CEA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Što se tiče nakladništva planirano je izdavanje kataloga vojnih ilustracija u dvorcu Trakošćan u suradnji s Vladimirom Brnardićem, Marinom Bregovac Pisk i Haraldom Skalom te s tim povezano terensko istraživanje na temu vojne povijesti i utvrda. Uz program preventivne zaštite planirani su i konzervatorsko-restauratorski za</w:t>
      </w:r>
      <w:r w:rsidR="00697BA4">
        <w:rPr>
          <w:rFonts w:asciiTheme="minorHAnsi" w:eastAsiaTheme="minorHAnsi" w:hAnsiTheme="minorHAnsi" w:cstheme="minorHAnsi"/>
          <w:sz w:val="24"/>
          <w:szCs w:val="24"/>
        </w:rPr>
        <w:t>hvati na originalnim tapetama iz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druge polovice 19. stoljeća koje se nalaze u Maloj knjižnici u dvorcu.</w:t>
      </w:r>
    </w:p>
    <w:p w:rsidR="00D028B2" w:rsidRDefault="00D028B2" w:rsidP="00D028B2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028B2" w:rsidRPr="00D028B2" w:rsidRDefault="002637F2" w:rsidP="00D028B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028B2">
        <w:rPr>
          <w:rFonts w:asciiTheme="minorHAnsi" w:eastAsiaTheme="minorHAnsi" w:hAnsiTheme="minorHAnsi" w:cstheme="minorHAnsi"/>
          <w:sz w:val="24"/>
          <w:szCs w:val="24"/>
        </w:rPr>
        <w:t xml:space="preserve">U sklopu međunarodne kulturne suradnje planirano je gostovanje izložbe o Trakošćanu u Dohi povodom 70 godina muzeja, rad u organizaciji ICOM te organiziranje međunarodne konferencije, izložba „Žene u samostanu“ u suradnji s muzejskom ustanovom Mosteiro de Arouca iz Portugala te izložba „Svitci iz Santiniketana“ u suradnji s muzejskom ustanovom </w:t>
      </w:r>
      <w:r w:rsidRPr="00D028B2">
        <w:rPr>
          <w:rFonts w:asciiTheme="minorHAnsi" w:eastAsiaTheme="minorHAnsi" w:hAnsiTheme="minorHAnsi" w:cstheme="minorHAnsi"/>
          <w:sz w:val="24"/>
          <w:szCs w:val="24"/>
        </w:rPr>
        <w:lastRenderedPageBreak/>
        <w:t>Kolkata Centre for Creativity.</w:t>
      </w:r>
      <w:r w:rsidR="00D028B2" w:rsidRPr="00D028B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028B2" w:rsidRPr="00D028B2">
        <w:rPr>
          <w:sz w:val="24"/>
          <w:szCs w:val="24"/>
        </w:rPr>
        <w:t>U okviru programa INTERREG planiran je projekt sa slovenski</w:t>
      </w:r>
      <w:r w:rsidR="00D028B2">
        <w:rPr>
          <w:sz w:val="24"/>
          <w:szCs w:val="24"/>
        </w:rPr>
        <w:t>m</w:t>
      </w:r>
      <w:r w:rsidR="00D028B2" w:rsidRPr="00D028B2">
        <w:rPr>
          <w:sz w:val="24"/>
          <w:szCs w:val="24"/>
        </w:rPr>
        <w:t xml:space="preserve"> partnerima CBC Chef. Dio programa prijavljuje se na Ministarstvo kulture i medija</w:t>
      </w:r>
      <w:r w:rsidR="00D028B2">
        <w:rPr>
          <w:sz w:val="24"/>
          <w:szCs w:val="24"/>
        </w:rPr>
        <w:t>,</w:t>
      </w:r>
      <w:r w:rsidR="00D028B2" w:rsidRPr="00D028B2">
        <w:rPr>
          <w:sz w:val="24"/>
          <w:szCs w:val="24"/>
        </w:rPr>
        <w:t xml:space="preserve"> a dio na natječaj Ministarstva vanjskih i europskih poslova.</w:t>
      </w:r>
    </w:p>
    <w:p w:rsidR="002637F2" w:rsidRDefault="002637F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Nadograditi će se informatički sustavi što uključuje nabavku nove računalne opreme i novih softverskih rješenja za interaktivne sadržaje, nadogradnju i optimizaciju informacijskog sustava, migraciju muzejskih baza podataka na CDU s pripadajućim licencama te izradu nove mrežne stranice s novim vizualnim identitetom. Marketinške aktivnosti biti će povezane sa proslavom 70-te godišnjice muzeja.</w:t>
      </w:r>
    </w:p>
    <w:p w:rsidR="002637F2" w:rsidRDefault="002637F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2637F2" w:rsidRDefault="002637F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 suradnji s osnivačem Ministarstvom kulture i medija odabrati će se prioritetni radovi za 2024.</w:t>
      </w:r>
      <w:r w:rsidR="002C5B73">
        <w:rPr>
          <w:rFonts w:asciiTheme="minorHAnsi" w:eastAsiaTheme="minorHAnsi" w:hAnsiTheme="minorHAnsi" w:cstheme="minorHAnsi"/>
          <w:sz w:val="24"/>
          <w:szCs w:val="24"/>
        </w:rPr>
        <w:t xml:space="preserve"> godinu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, a većina investicija će se odvijati fazno. Projekti u tijeku koji imaju ishođene dozvole su: izgradnja pješačkog mosta za prijelaz Trakošćanskog jezera, </w:t>
      </w:r>
      <w:r w:rsidR="00A66D97">
        <w:rPr>
          <w:rFonts w:asciiTheme="minorHAnsi" w:eastAsiaTheme="minorHAnsi" w:hAnsiTheme="minorHAnsi" w:cstheme="minorHAnsi"/>
          <w:sz w:val="24"/>
          <w:szCs w:val="24"/>
        </w:rPr>
        <w:t>energetska obnova pomoćne zgrade te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66D97">
        <w:rPr>
          <w:rFonts w:asciiTheme="minorHAnsi" w:eastAsiaTheme="minorHAnsi" w:hAnsiTheme="minorHAnsi" w:cstheme="minorHAnsi"/>
          <w:sz w:val="24"/>
          <w:szCs w:val="24"/>
        </w:rPr>
        <w:t>osuvremenjivanje stalnog postava. Projekti sanacije štete uključuju: sanaciju klizišta, sanaciju pristupnih staza, sanaciju klizišta na jezeru, popravak krovišta na dvorcu te izradu projektne dokumentacije za cjelovitu obnovu Vrtlarske kuće.</w:t>
      </w:r>
    </w:p>
    <w:p w:rsidR="00E8783A" w:rsidRDefault="00E8783A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8783A" w:rsidRPr="00E8783A" w:rsidRDefault="00E8783A" w:rsidP="00E8783A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Nakon kraće rasprave Upravno vijeće je jednoglasno </w:t>
      </w:r>
      <w:r w:rsidRPr="00E8783A">
        <w:rPr>
          <w:rFonts w:asciiTheme="minorHAnsi" w:eastAsiaTheme="minorHAnsi" w:hAnsiTheme="minorHAnsi" w:cstheme="minorHAnsi"/>
          <w:sz w:val="24"/>
          <w:szCs w:val="24"/>
        </w:rPr>
        <w:t xml:space="preserve">donijelo Odluku o usvajanju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Programa rada i </w:t>
      </w:r>
      <w:r w:rsidRPr="00E8783A">
        <w:rPr>
          <w:rFonts w:asciiTheme="minorHAnsi" w:eastAsiaTheme="minorHAnsi" w:hAnsiTheme="minorHAnsi" w:cstheme="minorHAnsi"/>
          <w:sz w:val="24"/>
          <w:szCs w:val="24"/>
        </w:rPr>
        <w:t>razvitka Dvora Trakošćan za 2024. godinu</w:t>
      </w:r>
      <w:r w:rsidR="00475E08">
        <w:rPr>
          <w:rFonts w:asciiTheme="minorHAnsi" w:eastAsiaTheme="minorHAnsi" w:hAnsiTheme="minorHAnsi" w:cstheme="minorHAnsi"/>
          <w:sz w:val="24"/>
          <w:szCs w:val="24"/>
        </w:rPr>
        <w:t xml:space="preserve"> koji je rezultat prijedloga stručnjaka muzeja te ga je Stručno vijeće preporučilo na usvajanje Upravnom vijeću</w:t>
      </w:r>
      <w:r w:rsidRPr="00E8783A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E8783A" w:rsidRDefault="00E8783A" w:rsidP="002637F2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C009F" w:rsidRDefault="008A7F00" w:rsidP="002637F2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 vijeće je jednoglasno donijelo </w:t>
      </w:r>
      <w:r w:rsidR="00905AB2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Odluku o usvajanju </w:t>
      </w:r>
      <w:r w:rsidR="004C009F">
        <w:rPr>
          <w:rFonts w:asciiTheme="minorHAnsi" w:eastAsiaTheme="minorHAnsi" w:hAnsiTheme="minorHAnsi" w:cstheme="minorHAnsi"/>
          <w:b/>
          <w:sz w:val="24"/>
          <w:szCs w:val="24"/>
        </w:rPr>
        <w:t xml:space="preserve">Programa rada i </w:t>
      </w:r>
    </w:p>
    <w:p w:rsidR="008A7F00" w:rsidRPr="004D3979" w:rsidRDefault="004C009F" w:rsidP="004C009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razvitka Dvora Trakošćan za 2024. godinu.</w:t>
      </w:r>
    </w:p>
    <w:p w:rsidR="00075F61" w:rsidRPr="004D3979" w:rsidRDefault="00075F61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34B00" w:rsidRPr="004D3979" w:rsidRDefault="00B34B00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6367C" w:rsidRDefault="00905AB2" w:rsidP="0076367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6</w:t>
      </w:r>
      <w:r w:rsidR="00A7503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76367C" w:rsidRP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polugodišnjeg Izvještaja o izvršenju Financijskog plana Dvora Trakošćan za</w:t>
      </w:r>
    </w:p>
    <w:p w:rsidR="0076367C" w:rsidRPr="0076367C" w:rsidRDefault="0076367C" w:rsidP="0076367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</w:t>
      </w:r>
      <w:r w:rsidRP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2023. godinu</w:t>
      </w:r>
    </w:p>
    <w:p w:rsidR="000D7EC5" w:rsidRDefault="000D7EC5" w:rsidP="000D7EC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60D2D" w:rsidRDefault="000D7EC5" w:rsidP="000D7EC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C303D">
        <w:rPr>
          <w:rFonts w:asciiTheme="minorHAnsi" w:eastAsiaTheme="minorHAnsi" w:hAnsiTheme="minorHAnsi" w:cstheme="minorHAnsi"/>
          <w:sz w:val="24"/>
          <w:szCs w:val="24"/>
        </w:rPr>
        <w:t>Voditeljica računovodstva Tanja Ferčec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je članovima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 xml:space="preserve"> Upravnog vijeća detaljno izložila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polugodišnji 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 xml:space="preserve">Izvještaj o izvršenju Financijskog plana Dvora </w:t>
      </w:r>
      <w:r>
        <w:rPr>
          <w:rFonts w:asciiTheme="minorHAnsi" w:eastAsiaTheme="minorHAnsi" w:hAnsiTheme="minorHAnsi" w:cstheme="minorHAnsi"/>
          <w:sz w:val="24"/>
          <w:szCs w:val="24"/>
        </w:rPr>
        <w:t>Trakošćan za 2023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>. godinu sa sljed</w:t>
      </w:r>
      <w:r w:rsidR="007E7259">
        <w:rPr>
          <w:rFonts w:asciiTheme="minorHAnsi" w:eastAsiaTheme="minorHAnsi" w:hAnsiTheme="minorHAnsi" w:cstheme="minorHAnsi"/>
          <w:sz w:val="24"/>
          <w:szCs w:val="24"/>
        </w:rPr>
        <w:t>ećim financijskim pokazateljima:</w:t>
      </w:r>
    </w:p>
    <w:p w:rsidR="000D7EC5" w:rsidRPr="003C303D" w:rsidRDefault="000D7EC5" w:rsidP="000D7EC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256"/>
        <w:gridCol w:w="1842"/>
        <w:gridCol w:w="2127"/>
        <w:gridCol w:w="1842"/>
      </w:tblGrid>
      <w:tr w:rsidR="007E7259" w:rsidRPr="003C303D" w:rsidTr="007E7259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PRIHODI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2023</w:t>
            </w: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PLAN</w:t>
            </w:r>
          </w:p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TEKUĆE GODINE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IZVRŠENJE</w:t>
            </w:r>
          </w:p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TEKUĆE GODINE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INDEKS IZVRŠENJA 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7259" w:rsidRPr="003C303D" w:rsidTr="007E7259">
        <w:tc>
          <w:tcPr>
            <w:tcW w:w="3256" w:type="dxa"/>
            <w:vAlign w:val="center"/>
          </w:tcPr>
          <w:p w:rsidR="007E7259" w:rsidRDefault="007E7259" w:rsidP="00E60D2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842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13.935,90</w:t>
            </w:r>
          </w:p>
        </w:tc>
        <w:tc>
          <w:tcPr>
            <w:tcW w:w="2127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</w:tc>
        <w:tc>
          <w:tcPr>
            <w:tcW w:w="1842" w:type="dxa"/>
            <w:vAlign w:val="center"/>
          </w:tcPr>
          <w:p w:rsidR="007E7259" w:rsidRPr="003C303D" w:rsidRDefault="007E7259" w:rsidP="007E7259">
            <w:pPr>
              <w:spacing w:after="200" w:line="36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0,0%</w:t>
            </w:r>
          </w:p>
        </w:tc>
      </w:tr>
      <w:tr w:rsidR="007E7259" w:rsidRPr="003C303D" w:rsidTr="007E7259">
        <w:tc>
          <w:tcPr>
            <w:tcW w:w="3256" w:type="dxa"/>
            <w:vAlign w:val="center"/>
          </w:tcPr>
          <w:p w:rsidR="007E7259" w:rsidRPr="003C303D" w:rsidRDefault="007E7259" w:rsidP="00E60D2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Prihodi od  imovine</w:t>
            </w:r>
          </w:p>
        </w:tc>
        <w:tc>
          <w:tcPr>
            <w:tcW w:w="1842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19,64</w:t>
            </w:r>
          </w:p>
        </w:tc>
        <w:tc>
          <w:tcPr>
            <w:tcW w:w="2127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0,49</w:t>
            </w:r>
          </w:p>
        </w:tc>
        <w:tc>
          <w:tcPr>
            <w:tcW w:w="1842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2,49%</w:t>
            </w:r>
          </w:p>
        </w:tc>
      </w:tr>
      <w:tr w:rsidR="007E7259" w:rsidRPr="003C303D" w:rsidTr="007E7259">
        <w:tc>
          <w:tcPr>
            <w:tcW w:w="3256" w:type="dxa"/>
            <w:vAlign w:val="center"/>
          </w:tcPr>
          <w:p w:rsidR="007E7259" w:rsidRPr="003C303D" w:rsidRDefault="007E7259" w:rsidP="00E60D2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Prihodi od upravnih i administrativnih pristojbi</w:t>
            </w:r>
          </w:p>
        </w:tc>
        <w:tc>
          <w:tcPr>
            <w:tcW w:w="1842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265.445,59</w:t>
            </w:r>
          </w:p>
        </w:tc>
        <w:tc>
          <w:tcPr>
            <w:tcW w:w="2127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160.612,75</w:t>
            </w:r>
          </w:p>
        </w:tc>
        <w:tc>
          <w:tcPr>
            <w:tcW w:w="1842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60,51%</w:t>
            </w:r>
          </w:p>
        </w:tc>
      </w:tr>
      <w:tr w:rsidR="007E7259" w:rsidRPr="003C303D" w:rsidTr="007E7259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1842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66.361,41</w:t>
            </w:r>
          </w:p>
        </w:tc>
        <w:tc>
          <w:tcPr>
            <w:tcW w:w="2127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53.944,15</w:t>
            </w:r>
          </w:p>
        </w:tc>
        <w:tc>
          <w:tcPr>
            <w:tcW w:w="1842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81,29%</w:t>
            </w:r>
          </w:p>
        </w:tc>
      </w:tr>
      <w:tr w:rsidR="007E7259" w:rsidRPr="003C303D" w:rsidTr="007E7259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Prihodi iz proračuna i HZZO-a</w:t>
            </w:r>
          </w:p>
        </w:tc>
        <w:tc>
          <w:tcPr>
            <w:tcW w:w="1842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634.830,01</w:t>
            </w:r>
          </w:p>
        </w:tc>
        <w:tc>
          <w:tcPr>
            <w:tcW w:w="2127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178.940,72</w:t>
            </w:r>
          </w:p>
        </w:tc>
        <w:tc>
          <w:tcPr>
            <w:tcW w:w="1842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28,19%</w:t>
            </w:r>
          </w:p>
        </w:tc>
      </w:tr>
      <w:tr w:rsidR="007E7259" w:rsidRPr="003C303D" w:rsidTr="007E7259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Prihodi od prodaje proizvedene dugotrajne imovine</w:t>
            </w:r>
          </w:p>
        </w:tc>
        <w:tc>
          <w:tcPr>
            <w:tcW w:w="1842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</w:tc>
        <w:tc>
          <w:tcPr>
            <w:tcW w:w="2127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13.244,85</w:t>
            </w:r>
          </w:p>
        </w:tc>
        <w:tc>
          <w:tcPr>
            <w:tcW w:w="1842" w:type="dxa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0,00%</w:t>
            </w:r>
          </w:p>
        </w:tc>
      </w:tr>
      <w:tr w:rsidR="007E7259" w:rsidRPr="003C303D" w:rsidTr="007E7259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E7259" w:rsidRPr="00E60D2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E60D2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PRIHODI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980.592,55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406.786,47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41,48%</w:t>
            </w:r>
          </w:p>
        </w:tc>
      </w:tr>
    </w:tbl>
    <w:p w:rsidR="000D7EC5" w:rsidRPr="003C303D" w:rsidRDefault="000D7EC5" w:rsidP="000D7EC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0D7EC5" w:rsidRPr="003C303D" w:rsidRDefault="000D7EC5" w:rsidP="000D7EC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256"/>
        <w:gridCol w:w="1842"/>
        <w:gridCol w:w="2127"/>
        <w:gridCol w:w="1842"/>
      </w:tblGrid>
      <w:tr w:rsidR="007E7259" w:rsidRPr="003C303D" w:rsidTr="00304637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RASHODI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2023</w:t>
            </w: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PLAN</w:t>
            </w:r>
          </w:p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TEKUĆE GODINE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IZVRŠENJE</w:t>
            </w:r>
          </w:p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TEKUĆE GODINE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INDEKS IZVRŠENJA </w:t>
            </w:r>
          </w:p>
          <w:p w:rsidR="007E7259" w:rsidRPr="003C303D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7259" w:rsidRPr="003C303D" w:rsidTr="00304637">
        <w:tc>
          <w:tcPr>
            <w:tcW w:w="3256" w:type="dxa"/>
            <w:vAlign w:val="center"/>
          </w:tcPr>
          <w:p w:rsidR="007E7259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Rashodi za zaposlene</w:t>
            </w:r>
          </w:p>
        </w:tc>
        <w:tc>
          <w:tcPr>
            <w:tcW w:w="1842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260.965,91</w:t>
            </w:r>
          </w:p>
        </w:tc>
        <w:tc>
          <w:tcPr>
            <w:tcW w:w="2127" w:type="dxa"/>
            <w:vAlign w:val="center"/>
          </w:tcPr>
          <w:p w:rsidR="007E7259" w:rsidRPr="00B459CF" w:rsidRDefault="007E7259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115.476,70</w:t>
            </w:r>
          </w:p>
        </w:tc>
        <w:tc>
          <w:tcPr>
            <w:tcW w:w="1842" w:type="dxa"/>
            <w:vAlign w:val="center"/>
          </w:tcPr>
          <w:p w:rsidR="007E7259" w:rsidRPr="003C303D" w:rsidRDefault="007E7259" w:rsidP="00304637">
            <w:pPr>
              <w:spacing w:after="200" w:line="36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44,25</w:t>
            </w:r>
            <w:r w:rsidR="00424866">
              <w:rPr>
                <w:rFonts w:asciiTheme="minorHAnsi" w:eastAsia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7E7259" w:rsidRPr="003C303D" w:rsidTr="00304637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Materijalni rashodi</w:t>
            </w:r>
          </w:p>
        </w:tc>
        <w:tc>
          <w:tcPr>
            <w:tcW w:w="1842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230.818,19</w:t>
            </w:r>
          </w:p>
        </w:tc>
        <w:tc>
          <w:tcPr>
            <w:tcW w:w="2127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151.849,28</w:t>
            </w:r>
          </w:p>
        </w:tc>
        <w:tc>
          <w:tcPr>
            <w:tcW w:w="1842" w:type="dxa"/>
            <w:vAlign w:val="center"/>
          </w:tcPr>
          <w:p w:rsidR="007E7259" w:rsidRPr="003C303D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65,79%</w:t>
            </w:r>
          </w:p>
        </w:tc>
      </w:tr>
      <w:tr w:rsidR="007E7259" w:rsidRPr="003C303D" w:rsidTr="00304637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Financijski rashodi</w:t>
            </w:r>
          </w:p>
        </w:tc>
        <w:tc>
          <w:tcPr>
            <w:tcW w:w="1842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2.933,17</w:t>
            </w:r>
          </w:p>
        </w:tc>
        <w:tc>
          <w:tcPr>
            <w:tcW w:w="2127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1.262,54</w:t>
            </w:r>
          </w:p>
        </w:tc>
        <w:tc>
          <w:tcPr>
            <w:tcW w:w="1842" w:type="dxa"/>
            <w:vAlign w:val="center"/>
          </w:tcPr>
          <w:p w:rsidR="007E7259" w:rsidRPr="003C303D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43,04%</w:t>
            </w:r>
          </w:p>
        </w:tc>
      </w:tr>
      <w:tr w:rsidR="007E7259" w:rsidRPr="003C303D" w:rsidTr="00304637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Rashodi za nabavu nefinancijske dugotrajne imovine</w:t>
            </w:r>
          </w:p>
        </w:tc>
        <w:tc>
          <w:tcPr>
            <w:tcW w:w="1842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</w:tc>
        <w:tc>
          <w:tcPr>
            <w:tcW w:w="2127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521,33</w:t>
            </w:r>
          </w:p>
        </w:tc>
        <w:tc>
          <w:tcPr>
            <w:tcW w:w="1842" w:type="dxa"/>
            <w:vAlign w:val="center"/>
          </w:tcPr>
          <w:p w:rsidR="007E7259" w:rsidRPr="003C303D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0,00%</w:t>
            </w:r>
          </w:p>
        </w:tc>
      </w:tr>
      <w:tr w:rsidR="007E7259" w:rsidRPr="003C303D" w:rsidTr="00304637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842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730.963,50</w:t>
            </w:r>
          </w:p>
        </w:tc>
        <w:tc>
          <w:tcPr>
            <w:tcW w:w="2127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24.328,71</w:t>
            </w:r>
          </w:p>
        </w:tc>
        <w:tc>
          <w:tcPr>
            <w:tcW w:w="1842" w:type="dxa"/>
            <w:vAlign w:val="center"/>
          </w:tcPr>
          <w:p w:rsidR="007E7259" w:rsidRPr="003C303D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3,33%</w:t>
            </w:r>
          </w:p>
        </w:tc>
      </w:tr>
      <w:tr w:rsidR="007E7259" w:rsidTr="00304637">
        <w:tc>
          <w:tcPr>
            <w:tcW w:w="3256" w:type="dxa"/>
            <w:vAlign w:val="center"/>
          </w:tcPr>
          <w:p w:rsidR="007E7259" w:rsidRPr="003C303D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1842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</w:tc>
        <w:tc>
          <w:tcPr>
            <w:tcW w:w="2127" w:type="dxa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3.355,00</w:t>
            </w:r>
          </w:p>
        </w:tc>
        <w:tc>
          <w:tcPr>
            <w:tcW w:w="1842" w:type="dxa"/>
            <w:vAlign w:val="center"/>
          </w:tcPr>
          <w:p w:rsidR="007E7259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0,00%</w:t>
            </w:r>
          </w:p>
        </w:tc>
      </w:tr>
      <w:tr w:rsidR="007E7259" w:rsidTr="007E7259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E7259" w:rsidRPr="007E7259" w:rsidRDefault="007E7259" w:rsidP="00304637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E725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RASHODI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1.225.680,77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E7259" w:rsidRPr="00B459CF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296.793,56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E7259" w:rsidRDefault="00424866" w:rsidP="00304637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24,21%</w:t>
            </w:r>
          </w:p>
        </w:tc>
      </w:tr>
    </w:tbl>
    <w:p w:rsidR="007E7259" w:rsidRDefault="007E7259" w:rsidP="00E60D2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D7EC5" w:rsidRDefault="00E60D2D" w:rsidP="00E60D2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Financijskim planom z</w:t>
      </w:r>
      <w:r w:rsidR="002C5B73">
        <w:rPr>
          <w:rFonts w:asciiTheme="minorHAnsi" w:eastAsiaTheme="minorHAnsi" w:hAnsiTheme="minorHAnsi" w:cstheme="minorHAnsi"/>
          <w:sz w:val="24"/>
          <w:szCs w:val="24"/>
        </w:rPr>
        <w:t>a razdoblje od 01.01. do 30.06.</w:t>
      </w:r>
      <w:r>
        <w:rPr>
          <w:rFonts w:asciiTheme="minorHAnsi" w:eastAsiaTheme="minorHAnsi" w:hAnsiTheme="minorHAnsi" w:cstheme="minorHAnsi"/>
          <w:sz w:val="24"/>
          <w:szCs w:val="24"/>
        </w:rPr>
        <w:t>2023. godine predviđeni su ukupni prihodi poslovanja u visini od 980.592,55 €, dok su isti ostvareni u iznosu od 406.786,48 € odnosno 41% godišnjeg plana. Ukupni ra</w:t>
      </w:r>
      <w:r w:rsidR="00424866">
        <w:rPr>
          <w:rFonts w:asciiTheme="minorHAnsi" w:eastAsiaTheme="minorHAnsi" w:hAnsiTheme="minorHAnsi" w:cstheme="minorHAnsi"/>
          <w:sz w:val="24"/>
          <w:szCs w:val="24"/>
        </w:rPr>
        <w:t>shodi prema izvršenju iznose 296.793,56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€</w:t>
      </w:r>
      <w:r w:rsidR="00424866">
        <w:rPr>
          <w:rFonts w:asciiTheme="minorHAnsi" w:eastAsiaTheme="minorHAnsi" w:hAnsiTheme="minorHAnsi" w:cstheme="minorHAnsi"/>
          <w:sz w:val="24"/>
          <w:szCs w:val="24"/>
        </w:rPr>
        <w:t xml:space="preserve"> što je 24,21</w:t>
      </w:r>
      <w:r>
        <w:rPr>
          <w:rFonts w:asciiTheme="minorHAnsi" w:eastAsiaTheme="minorHAnsi" w:hAnsiTheme="minorHAnsi" w:cstheme="minorHAnsi"/>
          <w:sz w:val="24"/>
          <w:szCs w:val="24"/>
        </w:rPr>
        <w:t>% izvršenja godišnjeg financijskog plana.</w:t>
      </w:r>
    </w:p>
    <w:p w:rsidR="00E60D2D" w:rsidRPr="00E60D2D" w:rsidRDefault="00E60D2D" w:rsidP="00E60D2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832B3E" w:rsidRDefault="00A75036" w:rsidP="00832B3E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</w:t>
      </w:r>
      <w:r w:rsidR="00832B3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jednoglasno donijelo Odluku o usvajanju polugodišnjeg </w:t>
      </w:r>
    </w:p>
    <w:p w:rsidR="00A75036" w:rsidRPr="004D3979" w:rsidRDefault="00832B3E" w:rsidP="00832B3E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Izvještaja o izvršenju Financijskog plana Dvora Trakošćan za 2023. godinu.</w:t>
      </w:r>
    </w:p>
    <w:p w:rsidR="00414F7B" w:rsidRDefault="00414F7B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D52DA" w:rsidRPr="004D3979" w:rsidRDefault="005D52DA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417CD" w:rsidRPr="004D3979" w:rsidRDefault="00905AB2" w:rsidP="0076367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7</w:t>
      </w:r>
      <w:r w:rsidR="00B23FF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Odluka o otpisu potraživanja</w:t>
      </w:r>
    </w:p>
    <w:p w:rsidR="00111112" w:rsidRDefault="007417CD" w:rsidP="00111112">
      <w:p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</w:p>
    <w:p w:rsidR="0097481D" w:rsidRPr="00111112" w:rsidRDefault="0076367C" w:rsidP="00111112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11112">
        <w:rPr>
          <w:rFonts w:asciiTheme="minorHAnsi" w:eastAsiaTheme="minorHAnsi" w:hAnsiTheme="minorHAnsi" w:cstheme="minorHAnsi"/>
          <w:sz w:val="24"/>
          <w:szCs w:val="24"/>
        </w:rPr>
        <w:t xml:space="preserve">Voditeljica računovodstva Tanja Ferčec </w:t>
      </w:r>
      <w:r w:rsidR="005D52DA" w:rsidRPr="00111112">
        <w:rPr>
          <w:rFonts w:asciiTheme="minorHAnsi" w:eastAsiaTheme="minorHAnsi" w:hAnsiTheme="minorHAnsi" w:cstheme="minorHAnsi"/>
          <w:sz w:val="24"/>
          <w:szCs w:val="24"/>
        </w:rPr>
        <w:t xml:space="preserve"> je obavijestila članove Upravnog vijeća da je </w:t>
      </w:r>
      <w:r w:rsidRPr="00111112">
        <w:rPr>
          <w:rFonts w:asciiTheme="minorHAnsi" w:eastAsiaTheme="minorHAnsi" w:hAnsiTheme="minorHAnsi" w:cstheme="minorHAnsi"/>
          <w:sz w:val="24"/>
          <w:szCs w:val="24"/>
        </w:rPr>
        <w:t>potrebno provesti otpis dospjelih potraživanja iz razloga brisanja poslovnih subjekata iz sudskog registra odnosno otvaranja stečaja na nekim poslovnim subjektima.</w:t>
      </w:r>
    </w:p>
    <w:p w:rsidR="005D52DA" w:rsidRPr="0097481D" w:rsidRDefault="0097481D" w:rsidP="00E3624C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Nakon kraće rasprave </w:t>
      </w:r>
      <w:r w:rsidR="00E3624C" w:rsidRPr="004D3979">
        <w:rPr>
          <w:rFonts w:asciiTheme="minorHAnsi" w:eastAsiaTheme="minorHAnsi" w:hAnsiTheme="minorHAnsi" w:cstheme="minorHAnsi"/>
        </w:rPr>
        <w:t xml:space="preserve">Upravno vijeće je donijelo Odluku o </w:t>
      </w:r>
      <w:r w:rsidR="0076367C">
        <w:rPr>
          <w:rFonts w:asciiTheme="minorHAnsi" w:eastAsiaTheme="minorHAnsi" w:hAnsiTheme="minorHAnsi" w:cstheme="minorHAnsi"/>
        </w:rPr>
        <w:t xml:space="preserve">otpisu potraživanja </w:t>
      </w:r>
      <w:r w:rsidR="00E3624C" w:rsidRPr="004D3979">
        <w:rPr>
          <w:rFonts w:asciiTheme="minorHAnsi" w:eastAsiaTheme="minorHAnsi" w:hAnsiTheme="minorHAnsi" w:cstheme="minorHAnsi"/>
        </w:rPr>
        <w:t>sa sljedećim sadržajem:</w:t>
      </w:r>
    </w:p>
    <w:p w:rsidR="0076367C" w:rsidRPr="009C4DD3" w:rsidRDefault="0076367C" w:rsidP="0076367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„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I.</w:t>
      </w:r>
    </w:p>
    <w:p w:rsidR="0076367C" w:rsidRPr="009C4DD3" w:rsidRDefault="0076367C" w:rsidP="007636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Ovom Odlukom uređuje se otpis dospjelih potraživanja Muzeja Dvor Trakošćan koja su nastala na temelju izlaznih računa za ulaznice i stručno vodstvo, kako slijedi:</w:t>
      </w:r>
    </w:p>
    <w:p w:rsidR="0076367C" w:rsidRPr="009C4DD3" w:rsidRDefault="0076367C" w:rsidP="007636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76367C" w:rsidRPr="009C4DD3" w:rsidRDefault="0076367C" w:rsidP="007636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Kompas-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Zagre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b,  A. Hebranga 34, Zagreb (OIB: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92104669091), račun br. 467-1-1 (03.07.2018.) u iznosu od 159,27 €</w:t>
      </w:r>
    </w:p>
    <w:p w:rsidR="0076367C" w:rsidRPr="009C4DD3" w:rsidRDefault="0076367C" w:rsidP="007636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Prolingua travel j.d.o.o.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, Rubeši 87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a, Rijeka (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OIB: 81978916387), r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ačun br. 680-1-1 (17.10.2018.) u iznosu od  69,02 € </w:t>
      </w:r>
    </w:p>
    <w:p w:rsidR="0076367C" w:rsidRPr="009C4DD3" w:rsidRDefault="0076367C" w:rsidP="007636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T.A. Laterna Sisak d.o.o., Ul. Dr.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A. Starčevića 13, Sisak (OIB: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70152865901), računi br. 416-1-1, 427-1-1 u iznosu od 207,05 € </w:t>
      </w:r>
    </w:p>
    <w:p w:rsidR="0076367C" w:rsidRPr="009C4DD3" w:rsidRDefault="0076367C" w:rsidP="0076367C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11112" w:rsidRPr="00FE33EC" w:rsidRDefault="0076367C" w:rsidP="007636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Ukupno dugovanje za otpis iznosi : </w:t>
      </w:r>
      <w:r w:rsidRPr="0076367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435,34 €</w:t>
      </w:r>
    </w:p>
    <w:p w:rsidR="0076367C" w:rsidRPr="009C4DD3" w:rsidRDefault="0076367C" w:rsidP="0076367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II.</w:t>
      </w:r>
    </w:p>
    <w:p w:rsidR="0076367C" w:rsidRDefault="0076367C" w:rsidP="0076367C">
      <w:pPr>
        <w:tabs>
          <w:tab w:val="left" w:pos="709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potraživanja nisu naplaćena do 30.06.2023.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godine.</w:t>
      </w:r>
    </w:p>
    <w:p w:rsidR="0076367C" w:rsidRPr="009C4DD3" w:rsidRDefault="0076367C" w:rsidP="0076367C">
      <w:pPr>
        <w:tabs>
          <w:tab w:val="left" w:pos="709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76367C" w:rsidRPr="009C4DD3" w:rsidRDefault="0076367C" w:rsidP="0076367C">
      <w:pPr>
        <w:tabs>
          <w:tab w:val="left" w:pos="709"/>
        </w:tabs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III.</w:t>
      </w:r>
    </w:p>
    <w:p w:rsidR="0076367C" w:rsidRPr="009C4DD3" w:rsidRDefault="0076367C" w:rsidP="007636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Nap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lata navedenih potraživanja nije moguća jer je jedan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subjekt brisan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 sudskog registra (Prolingua travel j.d.o.o.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, Rijeka), a  dva su subjekta završila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stečaju (Kompas-Zagreb, Zagreb i T.A. Laterna, Sisak).</w:t>
      </w:r>
    </w:p>
    <w:p w:rsidR="0076367C" w:rsidRPr="009C4DD3" w:rsidRDefault="0076367C" w:rsidP="0076367C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</w:t>
      </w: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IV.</w:t>
      </w:r>
    </w:p>
    <w:p w:rsidR="0076367C" w:rsidRPr="009C4DD3" w:rsidRDefault="0076367C" w:rsidP="0076367C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4DD3">
        <w:rPr>
          <w:rFonts w:asciiTheme="minorHAnsi" w:eastAsia="Times New Roman" w:hAnsiTheme="minorHAnsi" w:cstheme="minorHAnsi"/>
          <w:sz w:val="24"/>
          <w:szCs w:val="24"/>
          <w:lang w:eastAsia="hr-HR"/>
        </w:rPr>
        <w:t>Knjiženje u poslovnim knjigama u skladu s ovom Odlukom provesti će se s danom donošenja ove Odluke.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“</w:t>
      </w:r>
    </w:p>
    <w:p w:rsidR="00B23FFD" w:rsidRPr="004D3979" w:rsidRDefault="00B23FFD" w:rsidP="00E3624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23FFD" w:rsidRPr="004D3979" w:rsidRDefault="00B23FFD" w:rsidP="0076367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jednoglasno donijelo Odluku o </w:t>
      </w:r>
      <w:r w:rsid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otpisu potraživanja.</w:t>
      </w:r>
    </w:p>
    <w:p w:rsidR="00E94862" w:rsidRPr="004D3979" w:rsidRDefault="00E94862" w:rsidP="00E3624C">
      <w:pPr>
        <w:spacing w:after="20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26D09" w:rsidRPr="004D3979" w:rsidRDefault="00926D09" w:rsidP="00E3624C">
      <w:pPr>
        <w:spacing w:after="20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6367C" w:rsidRDefault="00905AB2" w:rsidP="0076367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8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76367C" w:rsidRP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Suglasnost za pokretanje postupka nabave za izradu projektne dokumentacije za </w:t>
      </w:r>
    </w:p>
    <w:p w:rsidR="0076367C" w:rsidRPr="0076367C" w:rsidRDefault="0076367C" w:rsidP="0076367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P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sanaciju klizišta</w:t>
      </w:r>
    </w:p>
    <w:p w:rsidR="0097481D" w:rsidRDefault="0097481D" w:rsidP="0097481D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Ravnateljica je obavijestila članove Upravnog vijeća da je </w:t>
      </w:r>
      <w:r w:rsidR="00C374B2">
        <w:rPr>
          <w:rFonts w:asciiTheme="minorHAnsi" w:eastAsiaTheme="minorHAnsi" w:hAnsiTheme="minorHAnsi" w:cstheme="minorHAnsi"/>
        </w:rPr>
        <w:t>potrebno provesti</w:t>
      </w:r>
      <w:r>
        <w:rPr>
          <w:rFonts w:asciiTheme="minorHAnsi" w:eastAsiaTheme="minorHAnsi" w:hAnsiTheme="minorHAnsi" w:cstheme="minorHAnsi"/>
        </w:rPr>
        <w:t xml:space="preserve"> postupak javne nabave za </w:t>
      </w:r>
      <w:r w:rsidR="00C374B2" w:rsidRPr="00C374B2">
        <w:rPr>
          <w:rFonts w:asciiTheme="minorHAnsi" w:eastAsiaTheme="minorHAnsi" w:hAnsiTheme="minorHAnsi" w:cstheme="minorHAnsi"/>
        </w:rPr>
        <w:t>izradu projektne dokumentacije za sanaciju klizišta</w:t>
      </w:r>
      <w:r w:rsidR="00C374B2">
        <w:rPr>
          <w:rFonts w:asciiTheme="minorHAnsi" w:eastAsiaTheme="minorHAnsi" w:hAnsiTheme="minorHAnsi" w:cstheme="minorHAnsi"/>
        </w:rPr>
        <w:t xml:space="preserve"> na stazi uz Trakošćansko jezero.</w:t>
      </w:r>
    </w:p>
    <w:p w:rsidR="0097481D" w:rsidRDefault="0097481D" w:rsidP="006E452A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</w:p>
    <w:p w:rsidR="00C374B2" w:rsidRPr="00C374B2" w:rsidRDefault="0097481D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</w:rPr>
        <w:t xml:space="preserve">Nakon kraće rasprave </w:t>
      </w:r>
      <w:r w:rsidR="00E3624C" w:rsidRPr="004D3979">
        <w:rPr>
          <w:rFonts w:asciiTheme="minorHAnsi" w:eastAsiaTheme="minorHAnsi" w:hAnsiTheme="minorHAnsi" w:cstheme="minorHAnsi"/>
        </w:rPr>
        <w:t>U</w:t>
      </w:r>
      <w:r w:rsidR="00C374B2">
        <w:rPr>
          <w:rFonts w:asciiTheme="minorHAnsi" w:eastAsiaTheme="minorHAnsi" w:hAnsiTheme="minorHAnsi" w:cstheme="minorHAnsi"/>
        </w:rPr>
        <w:t>pravno vijeće je dalo suglasnost</w:t>
      </w:r>
      <w:r w:rsidR="00E3624C" w:rsidRPr="004D3979">
        <w:rPr>
          <w:rFonts w:asciiTheme="minorHAnsi" w:eastAsiaTheme="minorHAnsi" w:hAnsiTheme="minorHAnsi" w:cstheme="minorHAnsi"/>
        </w:rPr>
        <w:t xml:space="preserve"> </w:t>
      </w:r>
      <w:r w:rsidR="00C374B2" w:rsidRPr="00C374B2">
        <w:rPr>
          <w:rFonts w:asciiTheme="minorHAnsi" w:eastAsiaTheme="minorHAnsi" w:hAnsiTheme="minorHAnsi" w:cstheme="minorHAnsi"/>
          <w:sz w:val="24"/>
          <w:szCs w:val="24"/>
        </w:rPr>
        <w:t>za pokretanje postupka nabave za izradu projektne dokumentacije za sanaciju klizišta</w:t>
      </w:r>
      <w:r w:rsidR="00C374B2">
        <w:rPr>
          <w:rFonts w:asciiTheme="minorHAnsi" w:eastAsiaTheme="minorHAnsi" w:hAnsiTheme="minorHAnsi" w:cstheme="minorHAnsi"/>
          <w:sz w:val="24"/>
          <w:szCs w:val="24"/>
        </w:rPr>
        <w:t xml:space="preserve"> sa sljedećim sadržajem:</w:t>
      </w:r>
    </w:p>
    <w:p w:rsidR="00C374B2" w:rsidRPr="003D5B16" w:rsidRDefault="00C374B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374B2" w:rsidRPr="00C374B2" w:rsidRDefault="00C374B2" w:rsidP="00C374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„</w:t>
      </w:r>
      <w:r w:rsidRPr="00C374B2">
        <w:rPr>
          <w:rFonts w:asciiTheme="minorHAnsi" w:eastAsiaTheme="minorHAnsi" w:hAnsiTheme="minorHAnsi" w:cstheme="minorHAnsi"/>
          <w:sz w:val="24"/>
          <w:szCs w:val="24"/>
        </w:rPr>
        <w:t>Članak 1.</w:t>
      </w:r>
    </w:p>
    <w:p w:rsidR="00C374B2" w:rsidRPr="008E733D" w:rsidRDefault="00C374B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Predmet ove Odluke je davanje suglasnosti za pokretanje postupka nabave za izradu projektne dokumentacije za sanaciju klizišta na stazi uz Trakošćansko jezero na </w:t>
      </w:r>
      <w:r w:rsidRPr="00A41000">
        <w:rPr>
          <w:rFonts w:asciiTheme="minorHAnsi" w:eastAsiaTheme="minorHAnsi" w:hAnsiTheme="minorHAnsi" w:cstheme="minorHAnsi"/>
          <w:sz w:val="24"/>
          <w:szCs w:val="24"/>
        </w:rPr>
        <w:t>k.č.br. 209</w:t>
      </w:r>
      <w:r>
        <w:rPr>
          <w:rFonts w:asciiTheme="minorHAnsi" w:eastAsiaTheme="minorHAnsi" w:hAnsiTheme="minorHAnsi" w:cstheme="minorHAnsi"/>
          <w:sz w:val="24"/>
          <w:szCs w:val="24"/>
        </w:rPr>
        <w:t>, k.o. Šaša</w:t>
      </w:r>
      <w:r w:rsidRPr="00A41000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C374B2" w:rsidRPr="006C69C7" w:rsidRDefault="00C374B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374B2" w:rsidRPr="00C374B2" w:rsidRDefault="00C374B2" w:rsidP="00C374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374B2">
        <w:rPr>
          <w:rFonts w:asciiTheme="minorHAnsi" w:eastAsiaTheme="minorHAnsi" w:hAnsiTheme="minorHAnsi" w:cstheme="minorHAnsi"/>
          <w:sz w:val="24"/>
          <w:szCs w:val="24"/>
        </w:rPr>
        <w:t>Članak 2.</w:t>
      </w:r>
    </w:p>
    <w:p w:rsidR="00C374B2" w:rsidRDefault="00C374B2" w:rsidP="00C374B2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Procijenjena vrijednost ulaganja iz članka 1. ove Odluke iznosi 22.563,00 eura, bez PDV-a.</w:t>
      </w:r>
    </w:p>
    <w:p w:rsidR="00C374B2" w:rsidRDefault="00C374B2" w:rsidP="00C374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C374B2" w:rsidRDefault="00C374B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Pošto je procijenjena vrijednost ulaganja veća od 10.000,00 eura, sukladno odredbama Pravilnika o provedbi postupaka javne nabave, Klasa: 011-01/23-02/1, Urbroj: 2186-13-2-02-23-1 od 12.01.2023., izvršitelj će biti izabran putem postupka jednostavne nabave.</w:t>
      </w:r>
    </w:p>
    <w:p w:rsidR="00C374B2" w:rsidRDefault="00C374B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374B2" w:rsidRPr="00C374B2" w:rsidRDefault="00C374B2" w:rsidP="00C374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374B2">
        <w:rPr>
          <w:rFonts w:asciiTheme="minorHAnsi" w:eastAsiaTheme="minorHAnsi" w:hAnsiTheme="minorHAnsi" w:cstheme="minorHAnsi"/>
          <w:sz w:val="24"/>
          <w:szCs w:val="24"/>
        </w:rPr>
        <w:t>Članak 3.</w:t>
      </w:r>
    </w:p>
    <w:p w:rsidR="00C374B2" w:rsidRPr="00EC37A3" w:rsidRDefault="00C374B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Prema procijenjenoj vrijednosti iz članka 2. ove Odluke ulaganje će prelaziti vrijednost od 13.270,00 eura pa se, sukladno članku 3., stavku 1. Odluke o izmjenama Statuta Muzeja Dvor Trakošćan, Broj: 1/38-1-1.2/7-2022/2 od 25.11.2022., daje suglasnost ravnateljici Muzeja za sklapanje ugovora s izabranim ponuditeljem.</w:t>
      </w:r>
    </w:p>
    <w:p w:rsidR="00C374B2" w:rsidRDefault="00C374B2" w:rsidP="00C374B2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C374B2" w:rsidRPr="00C374B2" w:rsidRDefault="00C374B2" w:rsidP="00C374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374B2">
        <w:rPr>
          <w:rFonts w:asciiTheme="minorHAnsi" w:eastAsiaTheme="minorHAnsi" w:hAnsiTheme="minorHAnsi" w:cstheme="minorHAnsi"/>
          <w:sz w:val="24"/>
          <w:szCs w:val="24"/>
        </w:rPr>
        <w:t>Članak 4.</w:t>
      </w:r>
    </w:p>
    <w:p w:rsidR="00926D09" w:rsidRPr="004D3979" w:rsidRDefault="00C374B2" w:rsidP="00C374B2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Ova Odluka stupa na snagu prvi dan od donošenja.</w:t>
      </w:r>
      <w:r>
        <w:rPr>
          <w:rFonts w:asciiTheme="minorHAnsi" w:eastAsiaTheme="minorHAnsi" w:hAnsiTheme="minorHAnsi" w:cstheme="minorHAnsi"/>
          <w:sz w:val="24"/>
          <w:szCs w:val="24"/>
        </w:rPr>
        <w:t>“</w:t>
      </w:r>
    </w:p>
    <w:p w:rsidR="0075797B" w:rsidRDefault="00E3624C" w:rsidP="0075797B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Zaključak: Upravn</w:t>
      </w:r>
      <w:r w:rsidR="007579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 vijeće je jednoglasno dalo</w:t>
      </w: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7579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</w:t>
      </w:r>
      <w:r w:rsidR="0075797B" w:rsidRP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uglasnost za pokretanje postupka nabave </w:t>
      </w:r>
    </w:p>
    <w:p w:rsidR="0075797B" w:rsidRPr="0076367C" w:rsidRDefault="0075797B" w:rsidP="0075797B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</w:t>
      </w:r>
      <w:r w:rsidRP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 iz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radu projektne dokumentacije za </w:t>
      </w:r>
      <w:r w:rsidRPr="007636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sanaciju klizišta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0B454B" w:rsidRDefault="000B454B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111112" w:rsidRPr="004D3979" w:rsidRDefault="00111112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26D09" w:rsidRDefault="00D44E3C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9</w:t>
      </w:r>
      <w:r w:rsidR="00926D0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.) Ostala pitanja</w:t>
      </w:r>
    </w:p>
    <w:p w:rsidR="003F2606" w:rsidRDefault="003F2606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70A50" w:rsidRPr="00241F40" w:rsidRDefault="00D44E3C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Ostala pitanja nije bilo rasprave.</w:t>
      </w:r>
    </w:p>
    <w:p w:rsidR="003F2606" w:rsidRPr="004D3979" w:rsidRDefault="003F2606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70A50" w:rsidRDefault="00370A5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5084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D44E3C">
        <w:rPr>
          <w:rFonts w:asciiTheme="minorHAnsi" w:eastAsiaTheme="minorHAnsi" w:hAnsiTheme="minorHAnsi" w:cstheme="minorHAnsi"/>
          <w:sz w:val="24"/>
          <w:szCs w:val="24"/>
        </w:rPr>
        <w:t>dnica je završila s radom u 14.1</w:t>
      </w:r>
      <w:r w:rsidR="00E52439" w:rsidRPr="004D3979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EF0F01" w:rsidRDefault="00EF0F01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Klasa:</w:t>
      </w:r>
      <w:r w:rsidR="008A7F00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73DE8">
        <w:rPr>
          <w:rFonts w:asciiTheme="minorHAnsi" w:eastAsiaTheme="minorHAnsi" w:hAnsiTheme="minorHAnsi" w:cstheme="minorHAnsi"/>
          <w:sz w:val="24"/>
          <w:szCs w:val="24"/>
        </w:rPr>
        <w:t>007-01/23-01/6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E1384C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73DE8">
        <w:rPr>
          <w:rFonts w:asciiTheme="minorHAnsi" w:eastAsiaTheme="minorHAnsi" w:hAnsiTheme="minorHAnsi" w:cstheme="minorHAnsi"/>
          <w:sz w:val="24"/>
          <w:szCs w:val="24"/>
        </w:rPr>
        <w:t>2186-13-2-02-23-2</w:t>
      </w:r>
      <w:r w:rsidR="00974B4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Pr="004D3979" w:rsidRDefault="008A7F0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U Trakošćanu, </w:t>
      </w:r>
      <w:r w:rsidR="00A73DE8">
        <w:rPr>
          <w:rFonts w:asciiTheme="minorHAnsi" w:eastAsiaTheme="minorHAnsi" w:hAnsiTheme="minorHAnsi" w:cstheme="minorHAnsi"/>
          <w:sz w:val="24"/>
          <w:szCs w:val="24"/>
        </w:rPr>
        <w:t>24.08.2023.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______________________                                                     _________________________</w:t>
      </w:r>
      <w:r w:rsidR="00974B4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sectPr w:rsidR="0051006B" w:rsidRPr="004D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78" w:rsidRDefault="00A82778" w:rsidP="003A013C">
      <w:pPr>
        <w:spacing w:after="0" w:line="240" w:lineRule="auto"/>
      </w:pPr>
      <w:r>
        <w:separator/>
      </w:r>
    </w:p>
  </w:endnote>
  <w:endnote w:type="continuationSeparator" w:id="0">
    <w:p w:rsidR="00A82778" w:rsidRDefault="00A82778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78" w:rsidRDefault="00A82778" w:rsidP="003A013C">
      <w:pPr>
        <w:spacing w:after="0" w:line="240" w:lineRule="auto"/>
      </w:pPr>
      <w:r>
        <w:separator/>
      </w:r>
    </w:p>
  </w:footnote>
  <w:footnote w:type="continuationSeparator" w:id="0">
    <w:p w:rsidR="00A82778" w:rsidRDefault="00A82778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DD8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0B91"/>
    <w:multiLevelType w:val="hybridMultilevel"/>
    <w:tmpl w:val="480E9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373BD"/>
    <w:multiLevelType w:val="hybridMultilevel"/>
    <w:tmpl w:val="C4326CA6"/>
    <w:lvl w:ilvl="0" w:tplc="57387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1253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57A1"/>
    <w:multiLevelType w:val="hybridMultilevel"/>
    <w:tmpl w:val="3DDA2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10B13"/>
    <w:multiLevelType w:val="hybridMultilevel"/>
    <w:tmpl w:val="8E1E7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36D68"/>
    <w:rsid w:val="00075F61"/>
    <w:rsid w:val="000B454B"/>
    <w:rsid w:val="000D7EC5"/>
    <w:rsid w:val="0010561E"/>
    <w:rsid w:val="00111112"/>
    <w:rsid w:val="00113669"/>
    <w:rsid w:val="0012299C"/>
    <w:rsid w:val="00123B26"/>
    <w:rsid w:val="00134B95"/>
    <w:rsid w:val="001448B0"/>
    <w:rsid w:val="001613AB"/>
    <w:rsid w:val="00182349"/>
    <w:rsid w:val="00185A06"/>
    <w:rsid w:val="001B56E9"/>
    <w:rsid w:val="001C248F"/>
    <w:rsid w:val="001C4485"/>
    <w:rsid w:val="001C752E"/>
    <w:rsid w:val="001F2095"/>
    <w:rsid w:val="0020133B"/>
    <w:rsid w:val="00234B90"/>
    <w:rsid w:val="00241F40"/>
    <w:rsid w:val="00244B09"/>
    <w:rsid w:val="002637F2"/>
    <w:rsid w:val="002716B2"/>
    <w:rsid w:val="00297755"/>
    <w:rsid w:val="002A132A"/>
    <w:rsid w:val="002C5B73"/>
    <w:rsid w:val="002E4CEA"/>
    <w:rsid w:val="002E7F79"/>
    <w:rsid w:val="00345B6B"/>
    <w:rsid w:val="0035084C"/>
    <w:rsid w:val="00370A50"/>
    <w:rsid w:val="003948EA"/>
    <w:rsid w:val="003A013C"/>
    <w:rsid w:val="003C303D"/>
    <w:rsid w:val="003F2606"/>
    <w:rsid w:val="00414F7B"/>
    <w:rsid w:val="00424866"/>
    <w:rsid w:val="004655B6"/>
    <w:rsid w:val="00475E08"/>
    <w:rsid w:val="004B0022"/>
    <w:rsid w:val="004B2913"/>
    <w:rsid w:val="004C009F"/>
    <w:rsid w:val="004D03EE"/>
    <w:rsid w:val="004D3979"/>
    <w:rsid w:val="004D7074"/>
    <w:rsid w:val="004E2F4D"/>
    <w:rsid w:val="004F54E4"/>
    <w:rsid w:val="0050022F"/>
    <w:rsid w:val="0051006B"/>
    <w:rsid w:val="0051492B"/>
    <w:rsid w:val="005220B6"/>
    <w:rsid w:val="005351A6"/>
    <w:rsid w:val="005354AE"/>
    <w:rsid w:val="00547237"/>
    <w:rsid w:val="0055617C"/>
    <w:rsid w:val="005B1274"/>
    <w:rsid w:val="005D52DA"/>
    <w:rsid w:val="005E4A2F"/>
    <w:rsid w:val="006023C2"/>
    <w:rsid w:val="00620B8D"/>
    <w:rsid w:val="0063107B"/>
    <w:rsid w:val="00666851"/>
    <w:rsid w:val="006678D3"/>
    <w:rsid w:val="00677C90"/>
    <w:rsid w:val="00697BA4"/>
    <w:rsid w:val="006E452A"/>
    <w:rsid w:val="007129E3"/>
    <w:rsid w:val="007417CD"/>
    <w:rsid w:val="0075405D"/>
    <w:rsid w:val="0075797B"/>
    <w:rsid w:val="00763628"/>
    <w:rsid w:val="0076367C"/>
    <w:rsid w:val="0077624A"/>
    <w:rsid w:val="00796320"/>
    <w:rsid w:val="007A4A34"/>
    <w:rsid w:val="007C22C7"/>
    <w:rsid w:val="007C584F"/>
    <w:rsid w:val="007E7259"/>
    <w:rsid w:val="00803BE4"/>
    <w:rsid w:val="00825424"/>
    <w:rsid w:val="00832B3E"/>
    <w:rsid w:val="008369D5"/>
    <w:rsid w:val="00840F66"/>
    <w:rsid w:val="00867159"/>
    <w:rsid w:val="00877E7F"/>
    <w:rsid w:val="00882970"/>
    <w:rsid w:val="008A7F00"/>
    <w:rsid w:val="008C15D3"/>
    <w:rsid w:val="008F6392"/>
    <w:rsid w:val="008F7709"/>
    <w:rsid w:val="0090518C"/>
    <w:rsid w:val="00905AB2"/>
    <w:rsid w:val="00926D09"/>
    <w:rsid w:val="00945195"/>
    <w:rsid w:val="00955A50"/>
    <w:rsid w:val="0097481D"/>
    <w:rsid w:val="00974B40"/>
    <w:rsid w:val="00997DF7"/>
    <w:rsid w:val="009A332A"/>
    <w:rsid w:val="009C0966"/>
    <w:rsid w:val="009E6369"/>
    <w:rsid w:val="00A06422"/>
    <w:rsid w:val="00A101DB"/>
    <w:rsid w:val="00A1193E"/>
    <w:rsid w:val="00A17438"/>
    <w:rsid w:val="00A40FD0"/>
    <w:rsid w:val="00A66693"/>
    <w:rsid w:val="00A66D97"/>
    <w:rsid w:val="00A73DE8"/>
    <w:rsid w:val="00A75036"/>
    <w:rsid w:val="00A82778"/>
    <w:rsid w:val="00AB7C2F"/>
    <w:rsid w:val="00AD1A91"/>
    <w:rsid w:val="00B02427"/>
    <w:rsid w:val="00B127D6"/>
    <w:rsid w:val="00B21CDD"/>
    <w:rsid w:val="00B23FFD"/>
    <w:rsid w:val="00B30CFF"/>
    <w:rsid w:val="00B34B00"/>
    <w:rsid w:val="00B364E5"/>
    <w:rsid w:val="00B459CF"/>
    <w:rsid w:val="00B6533A"/>
    <w:rsid w:val="00BC05C1"/>
    <w:rsid w:val="00BE2AF6"/>
    <w:rsid w:val="00BE3756"/>
    <w:rsid w:val="00BF253E"/>
    <w:rsid w:val="00C27599"/>
    <w:rsid w:val="00C374B2"/>
    <w:rsid w:val="00C921F4"/>
    <w:rsid w:val="00CD12F9"/>
    <w:rsid w:val="00CD22BD"/>
    <w:rsid w:val="00CE64CC"/>
    <w:rsid w:val="00D028B2"/>
    <w:rsid w:val="00D20748"/>
    <w:rsid w:val="00D44E3C"/>
    <w:rsid w:val="00D452A4"/>
    <w:rsid w:val="00D52BB1"/>
    <w:rsid w:val="00D76543"/>
    <w:rsid w:val="00D8033A"/>
    <w:rsid w:val="00D926CD"/>
    <w:rsid w:val="00DA46D7"/>
    <w:rsid w:val="00DD669B"/>
    <w:rsid w:val="00DF3D09"/>
    <w:rsid w:val="00E00CE7"/>
    <w:rsid w:val="00E07CA8"/>
    <w:rsid w:val="00E12785"/>
    <w:rsid w:val="00E1384C"/>
    <w:rsid w:val="00E3624C"/>
    <w:rsid w:val="00E52439"/>
    <w:rsid w:val="00E60D2D"/>
    <w:rsid w:val="00E66245"/>
    <w:rsid w:val="00E8783A"/>
    <w:rsid w:val="00E94862"/>
    <w:rsid w:val="00EA2989"/>
    <w:rsid w:val="00EC0BD6"/>
    <w:rsid w:val="00EC75F4"/>
    <w:rsid w:val="00EC7BEC"/>
    <w:rsid w:val="00ED3720"/>
    <w:rsid w:val="00EF0F01"/>
    <w:rsid w:val="00F4496D"/>
    <w:rsid w:val="00F50E95"/>
    <w:rsid w:val="00F810D3"/>
    <w:rsid w:val="00F81EF9"/>
    <w:rsid w:val="00F93F6F"/>
    <w:rsid w:val="00FA590D"/>
    <w:rsid w:val="00FD365A"/>
    <w:rsid w:val="00FD39F3"/>
    <w:rsid w:val="00FD683C"/>
    <w:rsid w:val="00FD766C"/>
    <w:rsid w:val="00FE33E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9F4D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5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E3624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dcterms:created xsi:type="dcterms:W3CDTF">2023-07-08T14:47:00Z</dcterms:created>
  <dcterms:modified xsi:type="dcterms:W3CDTF">2023-08-17T12:23:00Z</dcterms:modified>
</cp:coreProperties>
</file>